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D0B" w:rsidRDefault="00C93D0B" w:rsidP="00F34F7E">
      <w:pPr>
        <w:spacing w:line="480" w:lineRule="auto"/>
        <w:jc w:val="center"/>
        <w:rPr>
          <w:rFonts w:ascii="David" w:hAnsi="David" w:cs="David"/>
          <w:b/>
          <w:bCs/>
          <w:sz w:val="24"/>
          <w:szCs w:val="24"/>
          <w:rtl/>
        </w:rPr>
      </w:pPr>
      <w:r>
        <w:rPr>
          <w:rFonts w:ascii="David" w:hAnsi="David" w:cs="David" w:hint="cs"/>
          <w:b/>
          <w:bCs/>
          <w:sz w:val="24"/>
          <w:szCs w:val="24"/>
          <w:rtl/>
        </w:rPr>
        <w:t xml:space="preserve">הכינוס ה 19 של </w:t>
      </w:r>
      <w:bookmarkStart w:id="0" w:name="_GoBack"/>
      <w:bookmarkEnd w:id="0"/>
      <w:r>
        <w:rPr>
          <w:rFonts w:ascii="David" w:hAnsi="David" w:cs="David" w:hint="cs"/>
          <w:b/>
          <w:bCs/>
          <w:sz w:val="24"/>
          <w:szCs w:val="24"/>
          <w:rtl/>
        </w:rPr>
        <w:t>העובדות הסוציאליות</w:t>
      </w:r>
    </w:p>
    <w:p w:rsidR="00C93D0B" w:rsidRDefault="00C93D0B" w:rsidP="00F34F7E">
      <w:pPr>
        <w:spacing w:line="480" w:lineRule="auto"/>
        <w:jc w:val="center"/>
        <w:rPr>
          <w:rFonts w:ascii="David" w:hAnsi="David" w:cs="David"/>
          <w:b/>
          <w:bCs/>
          <w:sz w:val="24"/>
          <w:szCs w:val="24"/>
          <w:rtl/>
        </w:rPr>
      </w:pPr>
      <w:r>
        <w:rPr>
          <w:rFonts w:ascii="David" w:hAnsi="David" w:cs="David" w:hint="cs"/>
          <w:b/>
          <w:bCs/>
          <w:sz w:val="24"/>
          <w:szCs w:val="24"/>
          <w:rtl/>
        </w:rPr>
        <w:t>נובמבר 2017</w:t>
      </w:r>
    </w:p>
    <w:p w:rsidR="00B80A70" w:rsidRDefault="00C93D0B" w:rsidP="00F34F7E">
      <w:pPr>
        <w:spacing w:line="480" w:lineRule="auto"/>
        <w:jc w:val="center"/>
        <w:rPr>
          <w:rFonts w:ascii="David" w:hAnsi="David" w:cs="David" w:hint="cs"/>
          <w:b/>
          <w:bCs/>
          <w:sz w:val="24"/>
          <w:szCs w:val="24"/>
          <w:rtl/>
        </w:rPr>
      </w:pPr>
      <w:r>
        <w:rPr>
          <w:rFonts w:ascii="David" w:hAnsi="David" w:cs="David" w:hint="cs"/>
          <w:b/>
          <w:bCs/>
          <w:sz w:val="24"/>
          <w:szCs w:val="24"/>
          <w:rtl/>
        </w:rPr>
        <w:t xml:space="preserve">רצועה בנושא: </w:t>
      </w:r>
    </w:p>
    <w:p w:rsidR="00B80A70" w:rsidRDefault="00C93D0B" w:rsidP="00F34F7E">
      <w:pPr>
        <w:spacing w:line="480" w:lineRule="auto"/>
        <w:jc w:val="center"/>
        <w:rPr>
          <w:rFonts w:ascii="David" w:hAnsi="David" w:cs="David" w:hint="cs"/>
          <w:b/>
          <w:bCs/>
          <w:sz w:val="24"/>
          <w:szCs w:val="24"/>
          <w:rtl/>
        </w:rPr>
      </w:pPr>
      <w:r>
        <w:rPr>
          <w:rFonts w:ascii="David" w:hAnsi="David" w:cs="David" w:hint="cs"/>
          <w:b/>
          <w:bCs/>
          <w:sz w:val="24"/>
          <w:szCs w:val="24"/>
          <w:rtl/>
        </w:rPr>
        <w:t xml:space="preserve">סוגיות </w:t>
      </w:r>
      <w:r w:rsidR="00B80A70">
        <w:rPr>
          <w:rFonts w:ascii="David" w:hAnsi="David" w:cs="David" w:hint="cs"/>
          <w:b/>
          <w:bCs/>
          <w:sz w:val="24"/>
          <w:szCs w:val="24"/>
          <w:rtl/>
        </w:rPr>
        <w:t xml:space="preserve">ייחודיות בהתערבות עם ילדים ובני נוער נפגעי התעללות  </w:t>
      </w:r>
    </w:p>
    <w:p w:rsidR="00C93D0B" w:rsidRDefault="00C93D0B" w:rsidP="00F34F7E">
      <w:pPr>
        <w:spacing w:line="480" w:lineRule="auto"/>
        <w:jc w:val="center"/>
        <w:rPr>
          <w:rFonts w:ascii="David" w:hAnsi="David" w:cs="David"/>
          <w:b/>
          <w:bCs/>
          <w:sz w:val="24"/>
          <w:szCs w:val="24"/>
          <w:rtl/>
        </w:rPr>
      </w:pPr>
      <w:proofErr w:type="spellStart"/>
      <w:r>
        <w:rPr>
          <w:rFonts w:ascii="David" w:hAnsi="David" w:cs="David" w:hint="cs"/>
          <w:b/>
          <w:bCs/>
          <w:sz w:val="24"/>
          <w:szCs w:val="24"/>
          <w:rtl/>
        </w:rPr>
        <w:t>יור</w:t>
      </w:r>
      <w:proofErr w:type="spellEnd"/>
      <w:r>
        <w:rPr>
          <w:rFonts w:ascii="David" w:hAnsi="David" w:cs="David" w:hint="cs"/>
          <w:b/>
          <w:bCs/>
          <w:sz w:val="24"/>
          <w:szCs w:val="24"/>
          <w:rtl/>
        </w:rPr>
        <w:t xml:space="preserve">: ד"ר כרמית כץ </w:t>
      </w:r>
    </w:p>
    <w:p w:rsidR="00C93D0B" w:rsidRDefault="00F34F7E" w:rsidP="00F34F7E">
      <w:pPr>
        <w:spacing w:line="480" w:lineRule="auto"/>
        <w:rPr>
          <w:rFonts w:ascii="David" w:hAnsi="David" w:cs="David"/>
          <w:sz w:val="24"/>
          <w:szCs w:val="24"/>
          <w:rtl/>
        </w:rPr>
      </w:pPr>
      <w:r>
        <w:rPr>
          <w:rFonts w:ascii="David" w:hAnsi="David" w:cs="David" w:hint="cs"/>
          <w:sz w:val="24"/>
          <w:szCs w:val="24"/>
          <w:rtl/>
        </w:rPr>
        <w:t xml:space="preserve">       </w:t>
      </w:r>
      <w:r w:rsidR="00DA46E3">
        <w:rPr>
          <w:rFonts w:ascii="David" w:hAnsi="David" w:cs="David" w:hint="cs"/>
          <w:sz w:val="24"/>
          <w:szCs w:val="24"/>
          <w:rtl/>
        </w:rPr>
        <w:t xml:space="preserve">התעללות בילדים ובני נוער היא תופעה שנחקרה המון בעשורים האחרונים. לצד הידע הרב שהצטבר, העידן הנוכחי מציב בפני אנשי המקצוע </w:t>
      </w:r>
      <w:r w:rsidR="007B4648">
        <w:rPr>
          <w:rFonts w:ascii="David" w:hAnsi="David" w:cs="David" w:hint="cs"/>
          <w:sz w:val="24"/>
          <w:szCs w:val="24"/>
          <w:rtl/>
        </w:rPr>
        <w:t>דילמות חדשות ומאתגרות במיוחד</w:t>
      </w:r>
      <w:r w:rsidR="00584D5F">
        <w:rPr>
          <w:rFonts w:ascii="David" w:hAnsi="David" w:cs="David" w:hint="cs"/>
          <w:sz w:val="24"/>
          <w:szCs w:val="24"/>
          <w:rtl/>
        </w:rPr>
        <w:t xml:space="preserve">. </w:t>
      </w:r>
      <w:r w:rsidR="007B4648">
        <w:rPr>
          <w:rFonts w:ascii="David" w:hAnsi="David" w:cs="David" w:hint="cs"/>
          <w:sz w:val="24"/>
          <w:szCs w:val="24"/>
          <w:rtl/>
        </w:rPr>
        <w:t xml:space="preserve">הסימפוזיון הנוכחי </w:t>
      </w:r>
      <w:r w:rsidR="00584D5F">
        <w:rPr>
          <w:rFonts w:ascii="David" w:hAnsi="David" w:cs="David" w:hint="cs"/>
          <w:sz w:val="24"/>
          <w:szCs w:val="24"/>
          <w:rtl/>
        </w:rPr>
        <w:t xml:space="preserve">ישים במוקד את הסוגיות המאתגרות שמביא עמו העידו הנוכחי מתוך מטרה </w:t>
      </w:r>
      <w:r w:rsidR="007B4648">
        <w:rPr>
          <w:rFonts w:ascii="David" w:hAnsi="David" w:cs="David" w:hint="cs"/>
          <w:sz w:val="24"/>
          <w:szCs w:val="24"/>
          <w:rtl/>
        </w:rPr>
        <w:t>לשים עליהן את הזרקור ולנסות להעמיק בהן את הדיון. הסוגיות שידונו במסגרת הסימפוזיון יתייחסו לפגיעות מיניות בילדים ובני נוער במס</w:t>
      </w:r>
      <w:r w:rsidR="00584D5F">
        <w:rPr>
          <w:rFonts w:ascii="David" w:hAnsi="David" w:cs="David" w:hint="cs"/>
          <w:sz w:val="24"/>
          <w:szCs w:val="24"/>
          <w:rtl/>
        </w:rPr>
        <w:t xml:space="preserve">גרת האינטרנט, לפגיעות מיניות </w:t>
      </w:r>
      <w:r w:rsidR="007B4648">
        <w:rPr>
          <w:rFonts w:ascii="David" w:hAnsi="David" w:cs="David" w:hint="cs"/>
          <w:sz w:val="24"/>
          <w:szCs w:val="24"/>
          <w:rtl/>
        </w:rPr>
        <w:t xml:space="preserve">בנערות על ידי ריבוי של פוגעים, בפגיעות בילדים ברקע </w:t>
      </w:r>
      <w:r w:rsidR="00A63570">
        <w:rPr>
          <w:rFonts w:ascii="David" w:hAnsi="David" w:cs="David" w:hint="cs"/>
          <w:sz w:val="24"/>
          <w:szCs w:val="24"/>
          <w:rtl/>
        </w:rPr>
        <w:t xml:space="preserve">של סכסוך גירושין </w:t>
      </w:r>
      <w:r w:rsidR="00584D5F">
        <w:rPr>
          <w:rFonts w:ascii="David" w:hAnsi="David" w:cs="David" w:hint="cs"/>
          <w:sz w:val="24"/>
          <w:szCs w:val="24"/>
          <w:rtl/>
        </w:rPr>
        <w:t xml:space="preserve">ולבסוף, בניסיון לקדם את חוסנם של ילדים ובני נוער נפגעי התעללות באמצעות יחסים בין אחים. </w:t>
      </w:r>
    </w:p>
    <w:p w:rsidR="00D0419D" w:rsidRDefault="00D0419D" w:rsidP="00F34F7E">
      <w:pPr>
        <w:spacing w:line="480" w:lineRule="auto"/>
        <w:rPr>
          <w:rFonts w:ascii="David" w:hAnsi="David" w:cs="David"/>
          <w:b/>
          <w:bCs/>
          <w:sz w:val="24"/>
          <w:szCs w:val="24"/>
        </w:rPr>
      </w:pPr>
      <w:r>
        <w:rPr>
          <w:rFonts w:ascii="David" w:hAnsi="David" w:cs="David"/>
          <w:b/>
          <w:bCs/>
          <w:sz w:val="24"/>
          <w:szCs w:val="24"/>
          <w:rtl/>
        </w:rPr>
        <w:t>"להעיר את המתים" – פגיעה מינית באמצעות הסייבר</w:t>
      </w:r>
    </w:p>
    <w:p w:rsidR="00D0419D" w:rsidRDefault="00D0419D" w:rsidP="00F34F7E">
      <w:pPr>
        <w:spacing w:line="480" w:lineRule="auto"/>
        <w:rPr>
          <w:rFonts w:ascii="David" w:hAnsi="David" w:cs="David" w:hint="cs"/>
          <w:sz w:val="24"/>
          <w:szCs w:val="24"/>
          <w:rtl/>
        </w:rPr>
      </w:pPr>
      <w:r>
        <w:rPr>
          <w:rFonts w:ascii="David" w:hAnsi="David" w:cs="David" w:hint="cs"/>
          <w:sz w:val="24"/>
          <w:szCs w:val="24"/>
          <w:rtl/>
        </w:rPr>
        <w:t xml:space="preserve">מציגה: שיר </w:t>
      </w:r>
      <w:proofErr w:type="spellStart"/>
      <w:r>
        <w:rPr>
          <w:rFonts w:ascii="David" w:hAnsi="David" w:cs="David" w:hint="cs"/>
          <w:sz w:val="24"/>
          <w:szCs w:val="24"/>
          <w:rtl/>
        </w:rPr>
        <w:t>פילר</w:t>
      </w:r>
      <w:proofErr w:type="spellEnd"/>
    </w:p>
    <w:p w:rsidR="00D0419D" w:rsidRDefault="00D0419D" w:rsidP="00F34F7E">
      <w:pPr>
        <w:spacing w:line="480" w:lineRule="auto"/>
        <w:rPr>
          <w:rFonts w:ascii="David" w:hAnsi="David" w:cs="David" w:hint="cs"/>
          <w:sz w:val="24"/>
          <w:szCs w:val="24"/>
          <w:rtl/>
        </w:rPr>
      </w:pPr>
      <w:r>
        <w:rPr>
          <w:rFonts w:ascii="David" w:hAnsi="David" w:cs="David" w:hint="cs"/>
          <w:sz w:val="24"/>
          <w:szCs w:val="24"/>
          <w:rtl/>
        </w:rPr>
        <w:t xml:space="preserve">שותפות למחקר: דר כרמית כץ, טליה </w:t>
      </w:r>
      <w:proofErr w:type="spellStart"/>
      <w:r>
        <w:rPr>
          <w:rFonts w:ascii="David" w:hAnsi="David" w:cs="David" w:hint="cs"/>
          <w:sz w:val="24"/>
          <w:szCs w:val="24"/>
          <w:rtl/>
        </w:rPr>
        <w:t>גליקליך</w:t>
      </w:r>
      <w:proofErr w:type="spellEnd"/>
      <w:r>
        <w:rPr>
          <w:rFonts w:ascii="David" w:hAnsi="David" w:cs="David" w:hint="cs"/>
          <w:sz w:val="24"/>
          <w:szCs w:val="24"/>
          <w:rtl/>
        </w:rPr>
        <w:t xml:space="preserve"> ודניאלה אפרת מטי </w:t>
      </w:r>
    </w:p>
    <w:p w:rsidR="00D0419D" w:rsidRDefault="00D0419D" w:rsidP="00F34F7E">
      <w:pPr>
        <w:spacing w:line="480" w:lineRule="auto"/>
        <w:rPr>
          <w:rFonts w:ascii="David" w:hAnsi="David" w:cs="David"/>
          <w:sz w:val="24"/>
          <w:szCs w:val="24"/>
          <w:rtl/>
        </w:rPr>
      </w:pPr>
      <w:r>
        <w:rPr>
          <w:rFonts w:ascii="David" w:hAnsi="David" w:cs="David" w:hint="cs"/>
          <w:sz w:val="24"/>
          <w:szCs w:val="24"/>
          <w:rtl/>
        </w:rPr>
        <w:t xml:space="preserve">       </w:t>
      </w:r>
      <w:r>
        <w:rPr>
          <w:rFonts w:ascii="David" w:hAnsi="David" w:cs="David"/>
          <w:sz w:val="24"/>
          <w:szCs w:val="24"/>
          <w:rtl/>
        </w:rPr>
        <w:t xml:space="preserve">בעשורים האחרונים המדיה הפכה לכלי תקשורת ופלטפורמה חברתית משמעותית ביותר. ניתן לראות כי מספר הילדים בעלי הגישה לאינטרנט, בעולם המערבי, הינו גבוה </w:t>
      </w:r>
      <w:r w:rsidR="00F34F7E">
        <w:rPr>
          <w:rFonts w:ascii="David" w:hAnsi="David" w:cs="David" w:hint="cs"/>
          <w:sz w:val="24"/>
          <w:szCs w:val="24"/>
          <w:rtl/>
        </w:rPr>
        <w:t>מאוד</w:t>
      </w:r>
      <w:r>
        <w:rPr>
          <w:rFonts w:ascii="David" w:hAnsi="David" w:cs="David"/>
          <w:sz w:val="24"/>
          <w:szCs w:val="24"/>
          <w:rtl/>
        </w:rPr>
        <w:t>. יחד עם יתרונותיו הרבים של האינטרנט ניכר כי הוא עלול לטמון בחובו סכנות רבות עבור ילדים ובני נוער</w:t>
      </w:r>
      <w:r w:rsidR="00F34F7E">
        <w:rPr>
          <w:rFonts w:ascii="David" w:hAnsi="David" w:cs="David" w:hint="cs"/>
          <w:sz w:val="24"/>
          <w:szCs w:val="24"/>
          <w:rtl/>
        </w:rPr>
        <w:t xml:space="preserve"> כאשר אחת מהן היא </w:t>
      </w:r>
      <w:r>
        <w:rPr>
          <w:rFonts w:ascii="David" w:hAnsi="David" w:cs="David"/>
          <w:sz w:val="24"/>
          <w:szCs w:val="24"/>
          <w:rtl/>
        </w:rPr>
        <w:t xml:space="preserve">פגיעה מינית באמצעות האינטרנט. </w:t>
      </w:r>
      <w:r>
        <w:rPr>
          <w:rFonts w:ascii="David" w:hAnsi="David" w:cs="David" w:hint="cs"/>
          <w:sz w:val="24"/>
          <w:szCs w:val="24"/>
          <w:rtl/>
        </w:rPr>
        <w:t xml:space="preserve">במסגרת הסימפוזיון יוצגו ממצאים ביחס למקרים אשר הגיעו למרכז ההגנה בית לין בתל השומר ותך קידום הידע ביחס לילדים הנפגעים, </w:t>
      </w:r>
      <w:proofErr w:type="spellStart"/>
      <w:r>
        <w:rPr>
          <w:rFonts w:ascii="David" w:hAnsi="David" w:cs="David" w:hint="cs"/>
          <w:sz w:val="24"/>
          <w:szCs w:val="24"/>
          <w:rtl/>
        </w:rPr>
        <w:t>לדינמיקת</w:t>
      </w:r>
      <w:proofErr w:type="spellEnd"/>
      <w:r>
        <w:rPr>
          <w:rFonts w:ascii="David" w:hAnsi="David" w:cs="David" w:hint="cs"/>
          <w:sz w:val="24"/>
          <w:szCs w:val="24"/>
          <w:rtl/>
        </w:rPr>
        <w:t xml:space="preserve"> החשיפה ולאופי האירועים. בנוסף, </w:t>
      </w:r>
      <w:r>
        <w:rPr>
          <w:rFonts w:ascii="David" w:hAnsi="David" w:cs="David"/>
          <w:sz w:val="24"/>
          <w:szCs w:val="24"/>
          <w:rtl/>
        </w:rPr>
        <w:t xml:space="preserve">ממצאיו של מחקר שופכים אור על התופעה ובפרט "מעירים את המתים" ומצביעים על התנהלות מדאיגה של הורים רבים הבוחרים להתמודד עם הפגיעה "בתוך הבית" מבלי לערב את הרשויות. על כן, ניתוח הנתונים מאפשר התבוננות חדשה על התופעה של פגיעה מינית באמצעות הסייבר. </w:t>
      </w:r>
    </w:p>
    <w:p w:rsidR="00FB104B" w:rsidRPr="001B6643" w:rsidRDefault="00F34F7E" w:rsidP="00F34F7E">
      <w:pPr>
        <w:spacing w:line="480" w:lineRule="auto"/>
        <w:rPr>
          <w:rFonts w:ascii="David" w:hAnsi="David" w:cs="David" w:hint="cs"/>
          <w:b/>
          <w:bCs/>
          <w:sz w:val="24"/>
          <w:szCs w:val="24"/>
          <w:rtl/>
        </w:rPr>
      </w:pPr>
      <w:r>
        <w:rPr>
          <w:rFonts w:ascii="David" w:hAnsi="David" w:cs="David" w:hint="cs"/>
          <w:b/>
          <w:bCs/>
          <w:sz w:val="24"/>
          <w:szCs w:val="24"/>
          <w:rtl/>
        </w:rPr>
        <w:t>נערה אחת ו</w:t>
      </w:r>
      <w:r w:rsidR="00FB104B" w:rsidRPr="001B6643">
        <w:rPr>
          <w:rFonts w:ascii="David" w:hAnsi="David" w:cs="David"/>
          <w:b/>
          <w:bCs/>
          <w:sz w:val="24"/>
          <w:szCs w:val="24"/>
          <w:rtl/>
        </w:rPr>
        <w:t>ריבוי פוגעים מינית: שיעורים שניתן ללמוד ממקרים שהופנו למרכז ההגנה</w:t>
      </w:r>
      <w:r w:rsidR="00FB104B" w:rsidRPr="001B6643">
        <w:rPr>
          <w:rFonts w:ascii="David" w:hAnsi="David" w:cs="David" w:hint="cs"/>
          <w:b/>
          <w:bCs/>
          <w:sz w:val="24"/>
          <w:szCs w:val="24"/>
          <w:rtl/>
        </w:rPr>
        <w:t xml:space="preserve"> </w:t>
      </w:r>
    </w:p>
    <w:p w:rsidR="00FB104B" w:rsidRPr="001B6643" w:rsidRDefault="00FB104B" w:rsidP="00F34F7E">
      <w:pPr>
        <w:spacing w:line="480" w:lineRule="auto"/>
        <w:rPr>
          <w:rFonts w:ascii="David" w:hAnsi="David" w:cs="David" w:hint="cs"/>
          <w:sz w:val="24"/>
          <w:szCs w:val="24"/>
          <w:rtl/>
        </w:rPr>
      </w:pPr>
      <w:r w:rsidRPr="001B6643">
        <w:rPr>
          <w:rFonts w:ascii="David" w:hAnsi="David" w:cs="David" w:hint="cs"/>
          <w:sz w:val="24"/>
          <w:szCs w:val="24"/>
          <w:rtl/>
        </w:rPr>
        <w:t xml:space="preserve">מציגה: קרן אדמון </w:t>
      </w:r>
      <w:proofErr w:type="spellStart"/>
      <w:r w:rsidRPr="001B6643">
        <w:rPr>
          <w:rFonts w:ascii="David" w:hAnsi="David" w:cs="David" w:hint="cs"/>
          <w:sz w:val="24"/>
          <w:szCs w:val="24"/>
          <w:rtl/>
        </w:rPr>
        <w:t>ליבני</w:t>
      </w:r>
      <w:proofErr w:type="spellEnd"/>
    </w:p>
    <w:p w:rsidR="00FB104B" w:rsidRPr="001B6643" w:rsidRDefault="00FB104B" w:rsidP="00F34F7E">
      <w:pPr>
        <w:spacing w:line="480" w:lineRule="auto"/>
        <w:rPr>
          <w:rFonts w:ascii="David" w:hAnsi="David" w:cs="David"/>
          <w:sz w:val="24"/>
          <w:szCs w:val="24"/>
          <w:rtl/>
        </w:rPr>
      </w:pPr>
      <w:r w:rsidRPr="001B6643">
        <w:rPr>
          <w:rFonts w:ascii="David" w:hAnsi="David" w:cs="David" w:hint="cs"/>
          <w:sz w:val="24"/>
          <w:szCs w:val="24"/>
          <w:rtl/>
        </w:rPr>
        <w:t xml:space="preserve">שותפות למחקר: ד"ר כרמית כץ, טליה </w:t>
      </w:r>
      <w:proofErr w:type="spellStart"/>
      <w:r w:rsidRPr="001B6643">
        <w:rPr>
          <w:rFonts w:ascii="David" w:hAnsi="David" w:cs="David" w:hint="cs"/>
          <w:sz w:val="24"/>
          <w:szCs w:val="24"/>
          <w:rtl/>
        </w:rPr>
        <w:t>גליקליך</w:t>
      </w:r>
      <w:proofErr w:type="spellEnd"/>
      <w:r w:rsidRPr="001B6643">
        <w:rPr>
          <w:rFonts w:ascii="David" w:hAnsi="David" w:cs="David" w:hint="cs"/>
          <w:sz w:val="24"/>
          <w:szCs w:val="24"/>
          <w:rtl/>
        </w:rPr>
        <w:t xml:space="preserve"> ודניאלה </w:t>
      </w:r>
      <w:r w:rsidR="002F7985">
        <w:rPr>
          <w:rFonts w:ascii="David" w:hAnsi="David" w:cs="David" w:hint="cs"/>
          <w:sz w:val="24"/>
          <w:szCs w:val="24"/>
          <w:rtl/>
        </w:rPr>
        <w:t>אפרת מטי</w:t>
      </w:r>
    </w:p>
    <w:p w:rsidR="00FB104B" w:rsidRPr="00FB104B" w:rsidRDefault="001B6643" w:rsidP="00F34F7E">
      <w:pPr>
        <w:spacing w:line="480" w:lineRule="auto"/>
        <w:rPr>
          <w:rFonts w:ascii="David" w:hAnsi="David" w:cs="David"/>
          <w:sz w:val="24"/>
          <w:szCs w:val="24"/>
          <w:rtl/>
        </w:rPr>
      </w:pPr>
      <w:r>
        <w:rPr>
          <w:rFonts w:ascii="David" w:hAnsi="David" w:cs="David" w:hint="cs"/>
          <w:sz w:val="24"/>
          <w:szCs w:val="24"/>
          <w:rtl/>
        </w:rPr>
        <w:lastRenderedPageBreak/>
        <w:t xml:space="preserve">       </w:t>
      </w:r>
      <w:r w:rsidR="00FB104B" w:rsidRPr="00FB104B">
        <w:rPr>
          <w:rFonts w:ascii="David" w:hAnsi="David" w:cs="David"/>
          <w:sz w:val="24"/>
          <w:szCs w:val="24"/>
          <w:rtl/>
        </w:rPr>
        <w:t xml:space="preserve">פגיעה מינית בילדים הינה תופעה שנחקרה רבות, אך תת תופעה של ריבוי פוגעים מיניים בקרב מתבגרים הינה תופעה שלא זכתה כמעט להתייחסות מחקרית. ווקום זה משאיר שאלות רבות לגבי התופעה. המחקר הנוכחי נועד לסייע במיפוי התופעה, על מנת להתחיל וללמוד על התופעה, מאפייניה, היקפה ומורכבותה. לצורך כך, נאספו נתונים ממרכז ההגנה בית לין בתל השומר, ונמצאו 64 תיקים </w:t>
      </w:r>
      <w:proofErr w:type="spellStart"/>
      <w:r w:rsidR="00FB104B" w:rsidRPr="00FB104B">
        <w:rPr>
          <w:rFonts w:ascii="David" w:hAnsi="David" w:cs="David"/>
          <w:sz w:val="24"/>
          <w:szCs w:val="24"/>
          <w:rtl/>
        </w:rPr>
        <w:t>רלוונטים</w:t>
      </w:r>
      <w:proofErr w:type="spellEnd"/>
      <w:r w:rsidR="00FB104B" w:rsidRPr="00FB104B">
        <w:rPr>
          <w:rFonts w:ascii="David" w:hAnsi="David" w:cs="David"/>
          <w:sz w:val="24"/>
          <w:szCs w:val="24"/>
          <w:rtl/>
        </w:rPr>
        <w:t xml:space="preserve"> בין השנים 2012-2015. בתיקים אלו נמצא חשד לפגיעה על ידי לפחות שני פוגעים, וגילאי הנפגעים נעו מ-7 עד 18.5 (</w:t>
      </w:r>
      <w:r w:rsidR="00FB104B" w:rsidRPr="00FB104B">
        <w:rPr>
          <w:rFonts w:ascii="David" w:hAnsi="David" w:cs="David"/>
          <w:sz w:val="24"/>
          <w:szCs w:val="24"/>
        </w:rPr>
        <w:t>M=12.289</w:t>
      </w:r>
      <w:r w:rsidR="00FB104B" w:rsidRPr="00FB104B">
        <w:rPr>
          <w:rFonts w:ascii="David" w:hAnsi="David" w:cs="David"/>
          <w:sz w:val="24"/>
          <w:szCs w:val="24"/>
          <w:rtl/>
        </w:rPr>
        <w:t>), וגילאי הפוגעים החשודים נעו מ-8 עד 22 (</w:t>
      </w:r>
      <w:r w:rsidR="00FB104B" w:rsidRPr="00FB104B">
        <w:rPr>
          <w:rFonts w:ascii="David" w:hAnsi="David" w:cs="David"/>
          <w:sz w:val="24"/>
          <w:szCs w:val="24"/>
        </w:rPr>
        <w:t>M=14.403</w:t>
      </w:r>
      <w:r w:rsidR="00FB104B" w:rsidRPr="00FB104B">
        <w:rPr>
          <w:rFonts w:ascii="David" w:hAnsi="David" w:cs="David"/>
          <w:sz w:val="24"/>
          <w:szCs w:val="24"/>
          <w:rtl/>
        </w:rPr>
        <w:t xml:space="preserve">). רוב הנפגעים היו בנות, וברוב המקרים הן הכירו את הפוגעים שלהן. מחסור המחקר בהקשר של מתבגרים, יחד עם ממצאי המחקר מעלים לדיון שאלות הנוגעות לתפיסה החברתית כלפי מצבים אלו, ולהשפעתה על העיסוק, זיהוי וטיפול במקרים האלו. </w:t>
      </w:r>
      <w:r>
        <w:rPr>
          <w:rFonts w:ascii="David" w:hAnsi="David" w:cs="David" w:hint="cs"/>
          <w:sz w:val="24"/>
          <w:szCs w:val="24"/>
          <w:rtl/>
        </w:rPr>
        <w:t xml:space="preserve">במסגרת הסימפוזיון יוצגו אופנים שונים בהן ניתן להתייחס ולהתמודד עם התופעה. </w:t>
      </w:r>
    </w:p>
    <w:p w:rsidR="002F7985" w:rsidRDefault="002F7985" w:rsidP="00F34F7E">
      <w:pPr>
        <w:spacing w:line="480" w:lineRule="auto"/>
        <w:rPr>
          <w:rFonts w:ascii="David" w:hAnsi="David" w:cs="David" w:hint="cs"/>
          <w:b/>
          <w:bCs/>
          <w:sz w:val="24"/>
          <w:szCs w:val="24"/>
          <w:rtl/>
        </w:rPr>
      </w:pPr>
      <w:r>
        <w:rPr>
          <w:rFonts w:ascii="David" w:hAnsi="David" w:cs="David"/>
          <w:b/>
          <w:bCs/>
          <w:sz w:val="24"/>
          <w:szCs w:val="24"/>
          <w:rtl/>
        </w:rPr>
        <w:t>בעין הסערה</w:t>
      </w:r>
      <w:r>
        <w:rPr>
          <w:rFonts w:ascii="David" w:hAnsi="David" w:cs="David" w:hint="cs"/>
          <w:b/>
          <w:bCs/>
          <w:sz w:val="24"/>
          <w:szCs w:val="24"/>
          <w:rtl/>
        </w:rPr>
        <w:t xml:space="preserve">: </w:t>
      </w:r>
      <w:r>
        <w:rPr>
          <w:rFonts w:ascii="David" w:hAnsi="David" w:cs="David"/>
          <w:b/>
          <w:bCs/>
          <w:sz w:val="24"/>
          <w:szCs w:val="24"/>
          <w:rtl/>
        </w:rPr>
        <w:t>התעללות בילדים בצל סכסוך גירושין</w:t>
      </w:r>
    </w:p>
    <w:p w:rsidR="002F7985" w:rsidRPr="002F7985" w:rsidRDefault="002F7985" w:rsidP="00F34F7E">
      <w:pPr>
        <w:spacing w:line="480" w:lineRule="auto"/>
        <w:rPr>
          <w:rFonts w:ascii="David" w:hAnsi="David" w:cs="David" w:hint="cs"/>
          <w:sz w:val="24"/>
          <w:szCs w:val="24"/>
          <w:rtl/>
        </w:rPr>
      </w:pPr>
      <w:r w:rsidRPr="002F7985">
        <w:rPr>
          <w:rFonts w:ascii="David" w:hAnsi="David" w:cs="David" w:hint="cs"/>
          <w:sz w:val="24"/>
          <w:szCs w:val="24"/>
          <w:rtl/>
        </w:rPr>
        <w:t xml:space="preserve">מציגה: טליה </w:t>
      </w:r>
      <w:proofErr w:type="spellStart"/>
      <w:r w:rsidRPr="002F7985">
        <w:rPr>
          <w:rFonts w:ascii="David" w:hAnsi="David" w:cs="David" w:hint="cs"/>
          <w:sz w:val="24"/>
          <w:szCs w:val="24"/>
          <w:rtl/>
        </w:rPr>
        <w:t>גליקליך</w:t>
      </w:r>
      <w:proofErr w:type="spellEnd"/>
    </w:p>
    <w:p w:rsidR="002F7985" w:rsidRDefault="002F7985" w:rsidP="00F34F7E">
      <w:pPr>
        <w:spacing w:line="480" w:lineRule="auto"/>
        <w:rPr>
          <w:rFonts w:ascii="David" w:hAnsi="David" w:cs="David"/>
          <w:b/>
          <w:bCs/>
          <w:sz w:val="24"/>
          <w:szCs w:val="24"/>
          <w:rtl/>
        </w:rPr>
      </w:pPr>
      <w:r w:rsidRPr="002F7985">
        <w:rPr>
          <w:rFonts w:ascii="David" w:hAnsi="David" w:cs="David" w:hint="cs"/>
          <w:sz w:val="24"/>
          <w:szCs w:val="24"/>
          <w:rtl/>
        </w:rPr>
        <w:t xml:space="preserve">שותפות למחקר: דר כרמית כץ, שיר </w:t>
      </w:r>
      <w:proofErr w:type="spellStart"/>
      <w:r w:rsidRPr="002F7985">
        <w:rPr>
          <w:rFonts w:ascii="David" w:hAnsi="David" w:cs="David" w:hint="cs"/>
          <w:sz w:val="24"/>
          <w:szCs w:val="24"/>
          <w:rtl/>
        </w:rPr>
        <w:t>פילר</w:t>
      </w:r>
      <w:proofErr w:type="spellEnd"/>
      <w:r w:rsidRPr="002F7985">
        <w:rPr>
          <w:rFonts w:ascii="David" w:hAnsi="David" w:cs="David" w:hint="cs"/>
          <w:sz w:val="24"/>
          <w:szCs w:val="24"/>
          <w:rtl/>
        </w:rPr>
        <w:t xml:space="preserve"> ודניאלה אפרת מטי</w:t>
      </w:r>
    </w:p>
    <w:p w:rsidR="002F7985" w:rsidRPr="00706D69" w:rsidRDefault="002F7985" w:rsidP="00F34F7E">
      <w:pPr>
        <w:spacing w:line="480" w:lineRule="auto"/>
        <w:rPr>
          <w:rFonts w:ascii="David" w:hAnsi="David" w:cs="David"/>
          <w:b/>
          <w:bCs/>
          <w:sz w:val="24"/>
          <w:szCs w:val="24"/>
          <w:rtl/>
        </w:rPr>
      </w:pPr>
      <w:r>
        <w:rPr>
          <w:rFonts w:ascii="David" w:hAnsi="David" w:cs="David" w:hint="cs"/>
          <w:sz w:val="24"/>
          <w:szCs w:val="24"/>
          <w:rtl/>
        </w:rPr>
        <w:t xml:space="preserve">       </w:t>
      </w:r>
      <w:r>
        <w:rPr>
          <w:rFonts w:ascii="David" w:hAnsi="David" w:cs="David"/>
          <w:sz w:val="24"/>
          <w:szCs w:val="24"/>
          <w:rtl/>
        </w:rPr>
        <w:t>אחת הזירות המאתגרות ביותר לבחינת התעללות והזנחה בילדים על ידי הוריהם, היא הזירה בה ההתעללות וההזנחה מתרחשות בצל סכסוך גירושין. מעט מאוד מחקרים נעשו בנושא האשמות על התעללות כלפי הילדים במסגרת סכסוך גירושין בין ההורים. מחקר זה הינו הראשון המבקש לבחון את המאפיינים של הורים ושל ילדים הנמצאים בעיצומו של סכסוך גירושין בעצימות גבוהה המכיל בין היתר האשמות של הורה אחד את השני או האשמות הדדיות לגבי התעללות בילדים.</w:t>
      </w:r>
      <w:r>
        <w:rPr>
          <w:rFonts w:ascii="David" w:hAnsi="David" w:cs="David" w:hint="cs"/>
          <w:sz w:val="24"/>
          <w:szCs w:val="24"/>
          <w:rtl/>
        </w:rPr>
        <w:t xml:space="preserve"> </w:t>
      </w:r>
      <w:r>
        <w:rPr>
          <w:rFonts w:ascii="David" w:hAnsi="David" w:cs="David"/>
          <w:sz w:val="24"/>
          <w:szCs w:val="24"/>
          <w:rtl/>
        </w:rPr>
        <w:t xml:space="preserve">המחקר נעשה על 95 מקרים של ילדים שהגיעו למרכז הגנה בית לין </w:t>
      </w:r>
      <w:proofErr w:type="spellStart"/>
      <w:r>
        <w:rPr>
          <w:rFonts w:ascii="David" w:hAnsi="David" w:cs="David"/>
          <w:sz w:val="24"/>
          <w:szCs w:val="24"/>
          <w:rtl/>
        </w:rPr>
        <w:t>בתה"ש</w:t>
      </w:r>
      <w:proofErr w:type="spellEnd"/>
      <w:r>
        <w:rPr>
          <w:rFonts w:ascii="David" w:hAnsi="David" w:cs="David"/>
          <w:sz w:val="24"/>
          <w:szCs w:val="24"/>
          <w:rtl/>
        </w:rPr>
        <w:t xml:space="preserve"> לגביהם היה ידע על סכסוך גירושין בין ההורים. </w:t>
      </w:r>
      <w:r>
        <w:rPr>
          <w:rFonts w:ascii="David" w:hAnsi="David" w:cs="David" w:hint="cs"/>
          <w:sz w:val="24"/>
          <w:szCs w:val="24"/>
          <w:rtl/>
        </w:rPr>
        <w:t xml:space="preserve">במסגרת הסימפוזיון יוצגו נתונים ביחס לדפוסי הפגיעה המאפיינים מקרים אלה תוך ניסיון לאפיין פרופילים של הילדים הנפגעים וההורים הפוגעים ו/או מאשימים. בנוסף, תוצג הדינאמיקה הייחודית של צוות </w:t>
      </w:r>
      <w:proofErr w:type="spellStart"/>
      <w:r>
        <w:rPr>
          <w:rFonts w:ascii="David" w:hAnsi="David" w:cs="David" w:hint="cs"/>
          <w:sz w:val="24"/>
          <w:szCs w:val="24"/>
          <w:rtl/>
        </w:rPr>
        <w:t>העוסיות</w:t>
      </w:r>
      <w:proofErr w:type="spellEnd"/>
      <w:r>
        <w:rPr>
          <w:rFonts w:ascii="David" w:hAnsi="David" w:cs="David" w:hint="cs"/>
          <w:sz w:val="24"/>
          <w:szCs w:val="24"/>
          <w:rtl/>
        </w:rPr>
        <w:t xml:space="preserve"> במרכז ההגנה עם ההורים והילדים. </w:t>
      </w:r>
    </w:p>
    <w:p w:rsidR="006D1B12" w:rsidRDefault="006D1B12" w:rsidP="00F34F7E">
      <w:pPr>
        <w:spacing w:line="480" w:lineRule="auto"/>
        <w:rPr>
          <w:rFonts w:ascii="David" w:hAnsi="David" w:cs="David" w:hint="cs"/>
          <w:b/>
          <w:bCs/>
          <w:sz w:val="24"/>
          <w:szCs w:val="24"/>
          <w:rtl/>
        </w:rPr>
      </w:pPr>
      <w:r w:rsidRPr="00451774">
        <w:rPr>
          <w:rFonts w:ascii="David" w:hAnsi="David" w:cs="David" w:hint="cs"/>
          <w:b/>
          <w:bCs/>
          <w:sz w:val="24"/>
          <w:szCs w:val="24"/>
          <w:rtl/>
        </w:rPr>
        <w:t>הקשר בין התעללות והזנחה בילדות, יחסי אחאים וחוללות עצמית בבגרות</w:t>
      </w:r>
    </w:p>
    <w:p w:rsidR="001B6643" w:rsidRDefault="001B6643" w:rsidP="00F34F7E">
      <w:pPr>
        <w:spacing w:line="480" w:lineRule="auto"/>
        <w:rPr>
          <w:rFonts w:ascii="David" w:hAnsi="David" w:cs="David" w:hint="cs"/>
          <w:sz w:val="24"/>
          <w:szCs w:val="24"/>
          <w:rtl/>
        </w:rPr>
      </w:pPr>
      <w:r>
        <w:rPr>
          <w:rFonts w:ascii="David" w:hAnsi="David" w:cs="David" w:hint="cs"/>
          <w:sz w:val="24"/>
          <w:szCs w:val="24"/>
          <w:rtl/>
        </w:rPr>
        <w:t xml:space="preserve">מציגה: נועה </w:t>
      </w:r>
      <w:proofErr w:type="spellStart"/>
      <w:r>
        <w:rPr>
          <w:rFonts w:ascii="David" w:hAnsi="David" w:cs="David" w:hint="cs"/>
          <w:sz w:val="24"/>
          <w:szCs w:val="24"/>
          <w:rtl/>
        </w:rPr>
        <w:t>פריזיאן</w:t>
      </w:r>
      <w:proofErr w:type="spellEnd"/>
    </w:p>
    <w:p w:rsidR="001B6643" w:rsidRPr="001B6643" w:rsidRDefault="001B6643" w:rsidP="00F34F7E">
      <w:pPr>
        <w:spacing w:line="480" w:lineRule="auto"/>
        <w:rPr>
          <w:rFonts w:ascii="David" w:hAnsi="David" w:cs="David"/>
          <w:sz w:val="24"/>
          <w:szCs w:val="24"/>
          <w:rtl/>
        </w:rPr>
      </w:pPr>
      <w:r>
        <w:rPr>
          <w:rFonts w:ascii="David" w:hAnsi="David" w:cs="David" w:hint="cs"/>
          <w:sz w:val="24"/>
          <w:szCs w:val="24"/>
          <w:rtl/>
        </w:rPr>
        <w:t xml:space="preserve">שותפה למחקר: דר כרמית כץ </w:t>
      </w:r>
    </w:p>
    <w:p w:rsidR="006D1B12" w:rsidRPr="00451774" w:rsidRDefault="001B6643" w:rsidP="00F34F7E">
      <w:pPr>
        <w:spacing w:line="480" w:lineRule="auto"/>
        <w:rPr>
          <w:rFonts w:ascii="David" w:hAnsi="David" w:cs="David" w:hint="cs"/>
          <w:sz w:val="24"/>
          <w:szCs w:val="24"/>
          <w:rtl/>
        </w:rPr>
      </w:pPr>
      <w:r>
        <w:rPr>
          <w:rFonts w:cs="David" w:hint="cs"/>
          <w:sz w:val="24"/>
          <w:szCs w:val="24"/>
          <w:rtl/>
        </w:rPr>
        <w:t xml:space="preserve">       </w:t>
      </w:r>
      <w:r w:rsidR="00450054" w:rsidRPr="00451774">
        <w:rPr>
          <w:rFonts w:cs="David" w:hint="cs"/>
          <w:sz w:val="24"/>
          <w:szCs w:val="24"/>
          <w:rtl/>
        </w:rPr>
        <w:t xml:space="preserve">מרבית המחקרים </w:t>
      </w:r>
      <w:r w:rsidR="00D75E34" w:rsidRPr="00451774">
        <w:rPr>
          <w:rFonts w:cs="David" w:hint="cs"/>
          <w:sz w:val="24"/>
          <w:szCs w:val="24"/>
          <w:rtl/>
        </w:rPr>
        <w:t xml:space="preserve">בתחום ההתעללות וההזנחה בשנים האחרונות </w:t>
      </w:r>
      <w:r w:rsidR="00450054" w:rsidRPr="00451774">
        <w:rPr>
          <w:rFonts w:cs="David" w:hint="cs"/>
          <w:sz w:val="24"/>
          <w:szCs w:val="24"/>
          <w:rtl/>
        </w:rPr>
        <w:t>הוקדשו ללמידת</w:t>
      </w:r>
      <w:r w:rsidR="00D75E34" w:rsidRPr="00451774">
        <w:rPr>
          <w:rFonts w:cs="David" w:hint="cs"/>
          <w:sz w:val="24"/>
          <w:szCs w:val="24"/>
          <w:rtl/>
        </w:rPr>
        <w:t xml:space="preserve"> השלכות התופעה</w:t>
      </w:r>
      <w:r w:rsidR="00450054" w:rsidRPr="00451774">
        <w:rPr>
          <w:rFonts w:cs="David" w:hint="cs"/>
          <w:sz w:val="24"/>
          <w:szCs w:val="24"/>
          <w:rtl/>
        </w:rPr>
        <w:t xml:space="preserve">. לצד נושא זה, הנושא של יחסי </w:t>
      </w:r>
      <w:proofErr w:type="spellStart"/>
      <w:r w:rsidR="00450054" w:rsidRPr="00451774">
        <w:rPr>
          <w:rFonts w:cs="David" w:hint="cs"/>
          <w:sz w:val="24"/>
          <w:szCs w:val="24"/>
          <w:rtl/>
        </w:rPr>
        <w:t>אחאות</w:t>
      </w:r>
      <w:proofErr w:type="spellEnd"/>
      <w:r w:rsidR="00450054" w:rsidRPr="00451774">
        <w:rPr>
          <w:rFonts w:cs="David" w:hint="cs"/>
          <w:sz w:val="24"/>
          <w:szCs w:val="24"/>
          <w:rtl/>
        </w:rPr>
        <w:t xml:space="preserve"> נחקר מעט ובעיקר בהקשר של מצ</w:t>
      </w:r>
      <w:r w:rsidR="00D75E34" w:rsidRPr="00451774">
        <w:rPr>
          <w:rFonts w:cs="David" w:hint="cs"/>
          <w:sz w:val="24"/>
          <w:szCs w:val="24"/>
          <w:rtl/>
        </w:rPr>
        <w:t xml:space="preserve">בי חולי ובריאות. לפיכך, קיימת </w:t>
      </w:r>
      <w:r w:rsidR="00D75E34" w:rsidRPr="00451774">
        <w:rPr>
          <w:rFonts w:cs="David" w:hint="cs"/>
          <w:sz w:val="24"/>
          <w:szCs w:val="24"/>
          <w:rtl/>
        </w:rPr>
        <w:lastRenderedPageBreak/>
        <w:t>ל</w:t>
      </w:r>
      <w:r w:rsidR="00450054" w:rsidRPr="00451774">
        <w:rPr>
          <w:rFonts w:cs="David" w:hint="cs"/>
          <w:sz w:val="24"/>
          <w:szCs w:val="24"/>
          <w:rtl/>
        </w:rPr>
        <w:t>קונה בידע ביחס לקשר בין התעללות והזנחה בילדות ובין יחסי אחאים, אותה המחקר הנוכחי מבקש למלא</w:t>
      </w:r>
      <w:r w:rsidR="00D75E34" w:rsidRPr="00451774">
        <w:rPr>
          <w:rFonts w:cs="David" w:hint="cs"/>
          <w:sz w:val="24"/>
          <w:szCs w:val="24"/>
          <w:rtl/>
        </w:rPr>
        <w:t>. המחקר</w:t>
      </w:r>
      <w:r w:rsidR="00450054" w:rsidRPr="00451774">
        <w:rPr>
          <w:rFonts w:cs="David" w:hint="cs"/>
          <w:sz w:val="24"/>
          <w:szCs w:val="24"/>
          <w:rtl/>
        </w:rPr>
        <w:t xml:space="preserve"> מבקש לבחון</w:t>
      </w:r>
      <w:r w:rsidR="00715A43">
        <w:rPr>
          <w:rFonts w:cs="David" w:hint="cs"/>
          <w:sz w:val="24"/>
          <w:szCs w:val="24"/>
          <w:rtl/>
        </w:rPr>
        <w:t xml:space="preserve"> גם</w:t>
      </w:r>
      <w:r w:rsidR="00450054" w:rsidRPr="00451774">
        <w:rPr>
          <w:rFonts w:cs="David" w:hint="cs"/>
          <w:sz w:val="24"/>
          <w:szCs w:val="24"/>
          <w:rtl/>
        </w:rPr>
        <w:t xml:space="preserve"> האם אופי י</w:t>
      </w:r>
      <w:r w:rsidR="00D75E34" w:rsidRPr="00451774">
        <w:rPr>
          <w:rFonts w:cs="David" w:hint="cs"/>
          <w:sz w:val="24"/>
          <w:szCs w:val="24"/>
          <w:rtl/>
        </w:rPr>
        <w:t>חסי האחאים מתפקד כגורם מחסן ה</w:t>
      </w:r>
      <w:r w:rsidR="00450054" w:rsidRPr="00451774">
        <w:rPr>
          <w:rFonts w:cs="David" w:hint="cs"/>
          <w:sz w:val="24"/>
          <w:szCs w:val="24"/>
          <w:rtl/>
        </w:rPr>
        <w:t>מקדם את החוללות העצמית בבגרות, למרות די</w:t>
      </w:r>
      <w:r w:rsidR="009D0B21">
        <w:rPr>
          <w:rFonts w:cs="David" w:hint="cs"/>
          <w:sz w:val="24"/>
          <w:szCs w:val="24"/>
          <w:rtl/>
        </w:rPr>
        <w:t>ווחים על התעללות והזנחה ב</w:t>
      </w:r>
      <w:r w:rsidR="00450054" w:rsidRPr="00451774">
        <w:rPr>
          <w:rFonts w:cs="David" w:hint="cs"/>
          <w:sz w:val="24"/>
          <w:szCs w:val="24"/>
          <w:rtl/>
        </w:rPr>
        <w:t>ילדות.</w:t>
      </w:r>
      <w:r>
        <w:rPr>
          <w:rFonts w:ascii="David" w:hAnsi="David" w:cs="David" w:hint="cs"/>
          <w:b/>
          <w:bCs/>
          <w:sz w:val="24"/>
          <w:szCs w:val="24"/>
          <w:rtl/>
        </w:rPr>
        <w:t xml:space="preserve">  </w:t>
      </w:r>
      <w:r w:rsidR="00451774" w:rsidRPr="00451774">
        <w:rPr>
          <w:rFonts w:ascii="David" w:hAnsi="David" w:cs="David" w:hint="cs"/>
          <w:sz w:val="24"/>
          <w:szCs w:val="24"/>
          <w:rtl/>
        </w:rPr>
        <w:t xml:space="preserve">הנתונים </w:t>
      </w:r>
      <w:r w:rsidR="00451774">
        <w:rPr>
          <w:rFonts w:ascii="David" w:hAnsi="David" w:cs="David" w:hint="cs"/>
          <w:sz w:val="24"/>
          <w:szCs w:val="24"/>
          <w:rtl/>
        </w:rPr>
        <w:t xml:space="preserve">נאספו באמצעות שאלון לדיווח עצמי, במדגם נוחות. </w:t>
      </w:r>
      <w:r w:rsidR="00FB6D49">
        <w:rPr>
          <w:rFonts w:ascii="David" w:hAnsi="David" w:cs="David" w:hint="cs"/>
          <w:sz w:val="24"/>
          <w:szCs w:val="24"/>
          <w:rtl/>
        </w:rPr>
        <w:t>אוכלוסיית המחקר ה</w:t>
      </w:r>
      <w:r>
        <w:rPr>
          <w:rFonts w:ascii="David" w:hAnsi="David" w:cs="David" w:hint="cs"/>
          <w:sz w:val="24"/>
          <w:szCs w:val="24"/>
          <w:rtl/>
        </w:rPr>
        <w:t>יא 1000 נשים וגברים ב</w:t>
      </w:r>
      <w:r w:rsidR="00FB6D49">
        <w:rPr>
          <w:rFonts w:ascii="David" w:hAnsi="David" w:cs="David" w:hint="cs"/>
          <w:sz w:val="24"/>
          <w:szCs w:val="24"/>
          <w:rtl/>
        </w:rPr>
        <w:t>ני 18 ומעלה, שחוו ושלא חוו התעללות והזנחה בילדותם.</w:t>
      </w:r>
      <w:r w:rsidR="00F912F3">
        <w:rPr>
          <w:rFonts w:ascii="David" w:hAnsi="David" w:cs="David" w:hint="cs"/>
          <w:sz w:val="24"/>
          <w:szCs w:val="24"/>
          <w:rtl/>
        </w:rPr>
        <w:t xml:space="preserve"> שאלון המחקר כולל שלוש סקאלות עיקריות הבודקות את המשתנים הכלולים במחקר: </w:t>
      </w:r>
      <w:r w:rsidR="00F912F3">
        <w:rPr>
          <w:rFonts w:ascii="David" w:hAnsi="David" w:cs="David"/>
          <w:sz w:val="24"/>
          <w:szCs w:val="24"/>
        </w:rPr>
        <w:t>CTQ</w:t>
      </w:r>
      <w:r w:rsidR="00F912F3">
        <w:rPr>
          <w:rFonts w:ascii="David" w:hAnsi="David" w:cs="David" w:hint="cs"/>
          <w:sz w:val="24"/>
          <w:szCs w:val="24"/>
          <w:rtl/>
        </w:rPr>
        <w:t xml:space="preserve"> הבודק התעללות והזנחה, </w:t>
      </w:r>
      <w:r w:rsidR="00F912F3">
        <w:rPr>
          <w:rFonts w:ascii="David" w:hAnsi="David" w:cs="David" w:hint="cs"/>
          <w:sz w:val="24"/>
          <w:szCs w:val="24"/>
        </w:rPr>
        <w:t>ASRQ</w:t>
      </w:r>
      <w:r w:rsidR="00F912F3">
        <w:rPr>
          <w:rFonts w:ascii="David" w:hAnsi="David" w:cs="David" w:hint="cs"/>
          <w:sz w:val="24"/>
          <w:szCs w:val="24"/>
          <w:rtl/>
        </w:rPr>
        <w:t xml:space="preserve"> הבודק יחסי אחאים, ו-</w:t>
      </w:r>
      <w:r w:rsidR="00F912F3">
        <w:rPr>
          <w:rFonts w:ascii="David" w:hAnsi="David" w:cs="David" w:hint="cs"/>
          <w:sz w:val="24"/>
          <w:szCs w:val="24"/>
        </w:rPr>
        <w:t>NGSE</w:t>
      </w:r>
      <w:r w:rsidR="00F912F3">
        <w:rPr>
          <w:rFonts w:ascii="David" w:hAnsi="David" w:cs="David" w:hint="cs"/>
          <w:sz w:val="24"/>
          <w:szCs w:val="24"/>
          <w:rtl/>
        </w:rPr>
        <w:t xml:space="preserve"> הבודק חוללות עצמית. </w:t>
      </w:r>
      <w:r w:rsidR="008B3DE2">
        <w:rPr>
          <w:rFonts w:ascii="David" w:hAnsi="David" w:cs="David" w:hint="cs"/>
          <w:sz w:val="24"/>
          <w:szCs w:val="24"/>
          <w:rtl/>
        </w:rPr>
        <w:t xml:space="preserve">השאלון הופצץ בגרסה אינטרנטית ברשתות חברתיות שונות. </w:t>
      </w:r>
      <w:r>
        <w:rPr>
          <w:rFonts w:ascii="David" w:hAnsi="David" w:cs="David" w:hint="cs"/>
          <w:sz w:val="24"/>
          <w:szCs w:val="24"/>
          <w:rtl/>
        </w:rPr>
        <w:t xml:space="preserve">ממצאי המחקר מצביעים על הרלוונטיות לעיסוק ביחסי אחים במסגרת הפרקטיקה, במסגרת קבלת החלטות של אנשי מקצוע והן בתהליכי מדיניות הנוגעים לילדים ובני נוער נפגעי התעללות והזנחה. </w:t>
      </w:r>
    </w:p>
    <w:sectPr w:rsidR="006D1B12" w:rsidRPr="00451774" w:rsidSect="009E7463">
      <w:pgSz w:w="11906" w:h="16838"/>
      <w:pgMar w:top="1440" w:right="1440" w:bottom="1440" w:left="14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1F5"/>
    <w:rsid w:val="000C4B67"/>
    <w:rsid w:val="001B6643"/>
    <w:rsid w:val="002441F5"/>
    <w:rsid w:val="002F7985"/>
    <w:rsid w:val="00450054"/>
    <w:rsid w:val="00451774"/>
    <w:rsid w:val="005571F3"/>
    <w:rsid w:val="00584D5F"/>
    <w:rsid w:val="006818DC"/>
    <w:rsid w:val="006D1B12"/>
    <w:rsid w:val="00706D69"/>
    <w:rsid w:val="00715A43"/>
    <w:rsid w:val="007B4648"/>
    <w:rsid w:val="008B3DE2"/>
    <w:rsid w:val="008C73EA"/>
    <w:rsid w:val="009A6CD8"/>
    <w:rsid w:val="009D0B21"/>
    <w:rsid w:val="009E7463"/>
    <w:rsid w:val="00A63570"/>
    <w:rsid w:val="00A75453"/>
    <w:rsid w:val="00A825E3"/>
    <w:rsid w:val="00B77D82"/>
    <w:rsid w:val="00B80A70"/>
    <w:rsid w:val="00C93D0B"/>
    <w:rsid w:val="00D0419D"/>
    <w:rsid w:val="00D75E34"/>
    <w:rsid w:val="00DA46E3"/>
    <w:rsid w:val="00EF2A77"/>
    <w:rsid w:val="00F34F7E"/>
    <w:rsid w:val="00F912F3"/>
    <w:rsid w:val="00FB104B"/>
    <w:rsid w:val="00FB6D49"/>
    <w:rsid w:val="00FB6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6D1B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D1B12"/>
    <w:rPr>
      <w:b/>
      <w:bCs/>
    </w:rPr>
  </w:style>
  <w:style w:type="character" w:customStyle="1" w:styleId="apple-converted-space">
    <w:name w:val="apple-converted-space"/>
    <w:basedOn w:val="a0"/>
    <w:rsid w:val="006D1B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6D1B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D1B12"/>
    <w:rPr>
      <w:b/>
      <w:bCs/>
    </w:rPr>
  </w:style>
  <w:style w:type="character" w:customStyle="1" w:styleId="apple-converted-space">
    <w:name w:val="apple-converted-space"/>
    <w:basedOn w:val="a0"/>
    <w:rsid w:val="006D1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88322">
      <w:bodyDiv w:val="1"/>
      <w:marLeft w:val="0"/>
      <w:marRight w:val="0"/>
      <w:marTop w:val="0"/>
      <w:marBottom w:val="0"/>
      <w:divBdr>
        <w:top w:val="none" w:sz="0" w:space="0" w:color="auto"/>
        <w:left w:val="none" w:sz="0" w:space="0" w:color="auto"/>
        <w:bottom w:val="none" w:sz="0" w:space="0" w:color="auto"/>
        <w:right w:val="none" w:sz="0" w:space="0" w:color="auto"/>
      </w:divBdr>
    </w:div>
    <w:div w:id="1662851076">
      <w:bodyDiv w:val="1"/>
      <w:marLeft w:val="0"/>
      <w:marRight w:val="0"/>
      <w:marTop w:val="0"/>
      <w:marBottom w:val="0"/>
      <w:divBdr>
        <w:top w:val="none" w:sz="0" w:space="0" w:color="auto"/>
        <w:left w:val="none" w:sz="0" w:space="0" w:color="auto"/>
        <w:bottom w:val="none" w:sz="0" w:space="0" w:color="auto"/>
        <w:right w:val="none" w:sz="0" w:space="0" w:color="auto"/>
      </w:divBdr>
    </w:div>
    <w:div w:id="185823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4208</TotalTime>
  <Pages>3</Pages>
  <Words>728</Words>
  <Characters>3640</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dc:creator>
  <cp:lastModifiedBy>carmit</cp:lastModifiedBy>
  <cp:revision>15</cp:revision>
  <dcterms:created xsi:type="dcterms:W3CDTF">2017-04-28T07:59:00Z</dcterms:created>
  <dcterms:modified xsi:type="dcterms:W3CDTF">2017-05-04T06:09:00Z</dcterms:modified>
</cp:coreProperties>
</file>